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26"/>
      </w:tblGrid>
      <w:tr w:rsidR="008C3EB4" w:rsidRPr="00DB4E78" w:rsidTr="002A58E8">
        <w:tc>
          <w:tcPr>
            <w:tcW w:w="2628" w:type="dxa"/>
          </w:tcPr>
          <w:p w:rsidR="008C3EB4" w:rsidRPr="00DB4E78" w:rsidRDefault="008C3EB4" w:rsidP="002A58E8">
            <w:pPr>
              <w:tabs>
                <w:tab w:val="left" w:pos="709"/>
              </w:tabs>
              <w:jc w:val="both"/>
              <w:rPr>
                <w:spacing w:val="-3"/>
                <w:lang w:val="en-US"/>
              </w:rPr>
            </w:pPr>
            <w:r w:rsidRPr="00DB4E78">
              <w:rPr>
                <w:spacing w:val="-3"/>
                <w:lang w:val="en-US"/>
              </w:rPr>
              <w:t>Title of the project</w:t>
            </w:r>
          </w:p>
        </w:tc>
        <w:tc>
          <w:tcPr>
            <w:tcW w:w="7226" w:type="dxa"/>
          </w:tcPr>
          <w:p w:rsidR="008C3EB4" w:rsidRPr="00DB4E78" w:rsidRDefault="008C3EB4" w:rsidP="002A58E8">
            <w:pPr>
              <w:tabs>
                <w:tab w:val="left" w:pos="709"/>
              </w:tabs>
              <w:jc w:val="both"/>
              <w:rPr>
                <w:spacing w:val="-3"/>
                <w:lang w:val="en-US"/>
              </w:rPr>
            </w:pPr>
            <w:proofErr w:type="spellStart"/>
            <w:r w:rsidRPr="00DB4E78">
              <w:rPr>
                <w:spacing w:val="-3"/>
                <w:lang w:val="en-US"/>
              </w:rPr>
              <w:t>Quasiparticle</w:t>
            </w:r>
            <w:proofErr w:type="spellEnd"/>
            <w:r w:rsidRPr="00DB4E78">
              <w:rPr>
                <w:spacing w:val="-3"/>
                <w:lang w:val="en-US"/>
              </w:rPr>
              <w:t xml:space="preserve"> excitations generated by superfluid turbulence</w:t>
            </w:r>
          </w:p>
          <w:p w:rsidR="008C3EB4" w:rsidRPr="00DB4E78" w:rsidRDefault="008C3EB4" w:rsidP="002A58E8">
            <w:pPr>
              <w:tabs>
                <w:tab w:val="left" w:pos="709"/>
              </w:tabs>
              <w:jc w:val="both"/>
              <w:rPr>
                <w:spacing w:val="-3"/>
                <w:lang w:val="en-US"/>
              </w:rPr>
            </w:pPr>
            <w:r w:rsidRPr="00DB4E78">
              <w:rPr>
                <w:spacing w:val="-3"/>
                <w:lang w:val="en-US"/>
              </w:rPr>
              <w:t>AALTO 11</w:t>
            </w:r>
          </w:p>
        </w:tc>
      </w:tr>
      <w:tr w:rsidR="008C3EB4" w:rsidRPr="00DB4E78" w:rsidTr="002A58E8">
        <w:tc>
          <w:tcPr>
            <w:tcW w:w="2628" w:type="dxa"/>
          </w:tcPr>
          <w:p w:rsidR="008C3EB4" w:rsidRPr="00DB4E78" w:rsidRDefault="008C3EB4" w:rsidP="002A58E8">
            <w:pPr>
              <w:tabs>
                <w:tab w:val="left" w:pos="709"/>
              </w:tabs>
              <w:jc w:val="both"/>
              <w:rPr>
                <w:spacing w:val="-3"/>
                <w:lang w:val="en-US"/>
              </w:rPr>
            </w:pPr>
            <w:r w:rsidRPr="00DB4E78">
              <w:rPr>
                <w:spacing w:val="-3"/>
                <w:lang w:val="en-US"/>
              </w:rPr>
              <w:t>User group leader</w:t>
            </w:r>
          </w:p>
        </w:tc>
        <w:tc>
          <w:tcPr>
            <w:tcW w:w="7226" w:type="dxa"/>
          </w:tcPr>
          <w:p w:rsidR="008C3EB4" w:rsidRPr="00DB4E78" w:rsidRDefault="008C3EB4" w:rsidP="002A58E8">
            <w:pPr>
              <w:tabs>
                <w:tab w:val="left" w:pos="709"/>
              </w:tabs>
              <w:jc w:val="both"/>
              <w:rPr>
                <w:spacing w:val="-3"/>
                <w:lang w:val="en-US"/>
              </w:rPr>
            </w:pPr>
            <w:r w:rsidRPr="00DB4E78">
              <w:rPr>
                <w:spacing w:val="-3"/>
                <w:lang w:val="en-US"/>
              </w:rPr>
              <w:t>Victor L´vov, professor</w:t>
            </w:r>
          </w:p>
        </w:tc>
      </w:tr>
      <w:tr w:rsidR="008C3EB4" w:rsidRPr="00DB4E78" w:rsidTr="002A58E8">
        <w:tc>
          <w:tcPr>
            <w:tcW w:w="2628" w:type="dxa"/>
          </w:tcPr>
          <w:p w:rsidR="008C3EB4" w:rsidRPr="00DB4E78" w:rsidRDefault="008C3EB4" w:rsidP="002A58E8">
            <w:pPr>
              <w:tabs>
                <w:tab w:val="left" w:pos="709"/>
              </w:tabs>
              <w:jc w:val="both"/>
              <w:rPr>
                <w:spacing w:val="-3"/>
                <w:lang w:val="en-US"/>
              </w:rPr>
            </w:pPr>
            <w:r w:rsidRPr="00DB4E78">
              <w:rPr>
                <w:spacing w:val="-3"/>
                <w:lang w:val="en-US"/>
              </w:rPr>
              <w:t>Users</w:t>
            </w:r>
          </w:p>
        </w:tc>
        <w:tc>
          <w:tcPr>
            <w:tcW w:w="7226" w:type="dxa"/>
          </w:tcPr>
          <w:p w:rsidR="008C3EB4" w:rsidRPr="00DB4E78" w:rsidRDefault="008C3EB4" w:rsidP="002A58E8">
            <w:pPr>
              <w:tabs>
                <w:tab w:val="left" w:pos="709"/>
              </w:tabs>
              <w:jc w:val="both"/>
              <w:rPr>
                <w:spacing w:val="-3"/>
                <w:lang w:val="en-US"/>
              </w:rPr>
            </w:pPr>
            <w:r w:rsidRPr="00DB4E78">
              <w:rPr>
                <w:spacing w:val="-3"/>
                <w:lang w:val="en-US"/>
              </w:rPr>
              <w:t>Victor L`vov, professor</w:t>
            </w:r>
          </w:p>
        </w:tc>
      </w:tr>
      <w:tr w:rsidR="008C3EB4" w:rsidRPr="00DB4E78" w:rsidTr="002A58E8">
        <w:tc>
          <w:tcPr>
            <w:tcW w:w="2628" w:type="dxa"/>
          </w:tcPr>
          <w:p w:rsidR="008C3EB4" w:rsidRPr="00DB4E78" w:rsidRDefault="008C3EB4" w:rsidP="002A58E8">
            <w:pPr>
              <w:tabs>
                <w:tab w:val="left" w:pos="709"/>
              </w:tabs>
              <w:jc w:val="both"/>
              <w:rPr>
                <w:spacing w:val="-3"/>
                <w:lang w:val="en-US"/>
              </w:rPr>
            </w:pPr>
            <w:r w:rsidRPr="00DB4E78">
              <w:rPr>
                <w:spacing w:val="-3"/>
                <w:lang w:val="en-US"/>
              </w:rPr>
              <w:t>Home Institute</w:t>
            </w:r>
          </w:p>
        </w:tc>
        <w:tc>
          <w:tcPr>
            <w:tcW w:w="7226" w:type="dxa"/>
          </w:tcPr>
          <w:p w:rsidR="008C3EB4" w:rsidRPr="00DB4E78" w:rsidRDefault="008C3EB4" w:rsidP="002A58E8">
            <w:pPr>
              <w:tabs>
                <w:tab w:val="left" w:pos="709"/>
              </w:tabs>
              <w:jc w:val="both"/>
              <w:rPr>
                <w:spacing w:val="-3"/>
                <w:lang w:val="en-US"/>
              </w:rPr>
            </w:pPr>
            <w:r w:rsidRPr="00DB4E78">
              <w:rPr>
                <w:spacing w:val="-3"/>
                <w:lang w:val="en-US"/>
              </w:rPr>
              <w:t xml:space="preserve">The Weizmann </w:t>
            </w:r>
            <w:smartTag w:uri="urn:schemas-microsoft-com:office:smarttags" w:element="place">
              <w:smartTag w:uri="urn:schemas-microsoft-com:office:smarttags" w:element="PlaceType">
                <w:r w:rsidRPr="00DB4E78">
                  <w:rPr>
                    <w:spacing w:val="-3"/>
                    <w:lang w:val="en-US"/>
                  </w:rPr>
                  <w:t>Institute</w:t>
                </w:r>
              </w:smartTag>
              <w:r w:rsidRPr="00DB4E78">
                <w:rPr>
                  <w:spacing w:val="-3"/>
                  <w:lang w:val="en-US"/>
                </w:rPr>
                <w:t xml:space="preserve"> of </w:t>
              </w:r>
              <w:smartTag w:uri="urn:schemas-microsoft-com:office:smarttags" w:element="PlaceName">
                <w:r w:rsidRPr="00DB4E78">
                  <w:rPr>
                    <w:spacing w:val="-3"/>
                    <w:lang w:val="en-US"/>
                  </w:rPr>
                  <w:t>Science</w:t>
                </w:r>
              </w:smartTag>
            </w:smartTag>
            <w:r w:rsidRPr="00DB4E78">
              <w:rPr>
                <w:spacing w:val="-3"/>
                <w:lang w:val="en-US"/>
              </w:rPr>
              <w:t xml:space="preserve">, </w:t>
            </w:r>
            <w:proofErr w:type="spellStart"/>
            <w:smartTag w:uri="urn:schemas-microsoft-com:office:smarttags" w:element="place">
              <w:smartTag w:uri="urn:schemas-microsoft-com:office:smarttags" w:element="City">
                <w:r w:rsidRPr="00DB4E78">
                  <w:rPr>
                    <w:spacing w:val="-3"/>
                    <w:lang w:val="en-US"/>
                  </w:rPr>
                  <w:t>Rehevot</w:t>
                </w:r>
              </w:smartTag>
              <w:proofErr w:type="spellEnd"/>
              <w:r w:rsidRPr="00DB4E78">
                <w:rPr>
                  <w:spacing w:val="-3"/>
                  <w:lang w:val="en-US"/>
                </w:rPr>
                <w:t xml:space="preserve">, </w:t>
              </w:r>
              <w:smartTag w:uri="urn:schemas-microsoft-com:office:smarttags" w:element="country-region">
                <w:r w:rsidRPr="00DB4E78">
                  <w:rPr>
                    <w:spacing w:val="-3"/>
                    <w:lang w:val="en-US"/>
                  </w:rPr>
                  <w:t>Israel</w:t>
                </w:r>
              </w:smartTag>
            </w:smartTag>
          </w:p>
        </w:tc>
      </w:tr>
      <w:tr w:rsidR="008C3EB4" w:rsidRPr="00DB4E78" w:rsidTr="002A58E8">
        <w:tc>
          <w:tcPr>
            <w:tcW w:w="2628" w:type="dxa"/>
          </w:tcPr>
          <w:p w:rsidR="008C3EB4" w:rsidRPr="00DB4E78" w:rsidRDefault="008C3EB4" w:rsidP="002A58E8">
            <w:pPr>
              <w:tabs>
                <w:tab w:val="left" w:pos="709"/>
              </w:tabs>
              <w:jc w:val="both"/>
              <w:rPr>
                <w:spacing w:val="-3"/>
                <w:lang w:val="en-US"/>
              </w:rPr>
            </w:pPr>
            <w:r w:rsidRPr="00DB4E78">
              <w:rPr>
                <w:spacing w:val="-3"/>
                <w:lang w:val="en-US"/>
              </w:rPr>
              <w:t>Description of the work</w:t>
            </w:r>
          </w:p>
        </w:tc>
        <w:tc>
          <w:tcPr>
            <w:tcW w:w="7226" w:type="dxa"/>
          </w:tcPr>
          <w:p w:rsidR="008C3EB4" w:rsidRPr="00DB4E78" w:rsidRDefault="008C3EB4" w:rsidP="002A58E8">
            <w:pPr>
              <w:autoSpaceDE w:val="0"/>
              <w:autoSpaceDN w:val="0"/>
              <w:adjustRightInd w:val="0"/>
              <w:spacing w:before="120" w:line="240" w:lineRule="exact"/>
              <w:jc w:val="both"/>
              <w:rPr>
                <w:color w:val="000000"/>
                <w:sz w:val="22"/>
                <w:szCs w:val="22"/>
                <w:lang w:val="en-US" w:eastAsia="en-US"/>
              </w:rPr>
            </w:pPr>
            <w:r w:rsidRPr="00DB4E78">
              <w:rPr>
                <w:color w:val="000000"/>
                <w:sz w:val="22"/>
                <w:szCs w:val="22"/>
                <w:lang w:val="en-US" w:eastAsia="en-US"/>
              </w:rPr>
              <w:t>Dissipation from the motion of quantized vortices at the very lowest tempera</w:t>
            </w:r>
            <w:r w:rsidRPr="00DB4E78">
              <w:rPr>
                <w:color w:val="000000"/>
                <w:sz w:val="22"/>
                <w:szCs w:val="22"/>
                <w:lang w:val="en-US" w:eastAsia="en-US"/>
              </w:rPr>
              <w:softHyphen/>
              <w:t>tures is of great current interest in the study of coherent quantum systems. At higher temperatures the source of dissipation is the damping in vortex motion known as mutual friction. It arises from the scattering of normal excitations from a vortex which moves with respect to the reference frame provided by the normal fluid. This mechanism of dissipation approaches zero in the zero tem</w:t>
            </w:r>
            <w:r w:rsidRPr="00DB4E78">
              <w:rPr>
                <w:color w:val="000000"/>
                <w:sz w:val="22"/>
                <w:szCs w:val="22"/>
                <w:lang w:val="en-US" w:eastAsia="en-US"/>
              </w:rPr>
              <w:softHyphen/>
              <w:t>perature limit, when the cloud of normal excitations becomes rarefied. In a ro</w:t>
            </w:r>
            <w:r w:rsidRPr="00DB4E78">
              <w:rPr>
                <w:color w:val="000000"/>
                <w:sz w:val="22"/>
                <w:szCs w:val="22"/>
                <w:lang w:val="en-US" w:eastAsia="en-US"/>
              </w:rPr>
              <w:softHyphen/>
              <w:t>tating cryostat one can explore the motion of vortices as a response to a change in the rotation velocity, and by comparing the results for different initial condi</w:t>
            </w:r>
            <w:r w:rsidRPr="00DB4E78">
              <w:rPr>
                <w:color w:val="000000"/>
                <w:sz w:val="22"/>
                <w:szCs w:val="22"/>
                <w:lang w:val="en-US" w:eastAsia="en-US"/>
              </w:rPr>
              <w:softHyphen/>
              <w:t xml:space="preserve">tions. The unsettled question concerns the zero temperature </w:t>
            </w:r>
            <w:proofErr w:type="gramStart"/>
            <w:r w:rsidRPr="00DB4E78">
              <w:rPr>
                <w:color w:val="000000"/>
                <w:sz w:val="22"/>
                <w:szCs w:val="22"/>
                <w:lang w:val="en-US" w:eastAsia="en-US"/>
              </w:rPr>
              <w:t>limit</w:t>
            </w:r>
            <w:proofErr w:type="gramEnd"/>
            <w:r w:rsidRPr="00DB4E78">
              <w:rPr>
                <w:color w:val="000000"/>
                <w:sz w:val="22"/>
                <w:szCs w:val="22"/>
                <w:lang w:val="en-US" w:eastAsia="en-US"/>
              </w:rPr>
              <w:t>: Is dissipation in vortex motion indeed approaching zero or are there new mechanisms which govern the superfluid dynamics and become measurable at the lowest temper</w:t>
            </w:r>
            <w:r w:rsidRPr="00DB4E78">
              <w:rPr>
                <w:color w:val="000000"/>
                <w:sz w:val="22"/>
                <w:szCs w:val="22"/>
                <w:lang w:val="en-US" w:eastAsia="en-US"/>
              </w:rPr>
              <w:softHyphen/>
              <w:t xml:space="preserve">atures? </w:t>
            </w:r>
          </w:p>
          <w:p w:rsidR="008C3EB4" w:rsidRPr="00DB4E78" w:rsidRDefault="008C3EB4" w:rsidP="002A58E8">
            <w:pPr>
              <w:autoSpaceDE w:val="0"/>
              <w:autoSpaceDN w:val="0"/>
              <w:adjustRightInd w:val="0"/>
              <w:spacing w:before="120" w:line="240" w:lineRule="exact"/>
              <w:jc w:val="both"/>
              <w:rPr>
                <w:rFonts w:ascii="Arial" w:hAnsi="Arial" w:cs="Arial"/>
                <w:color w:val="000000"/>
                <w:sz w:val="20"/>
                <w:szCs w:val="20"/>
                <w:lang w:val="en-US" w:eastAsia="en-US"/>
              </w:rPr>
            </w:pPr>
            <w:r w:rsidRPr="00DB4E78">
              <w:rPr>
                <w:color w:val="000000"/>
                <w:sz w:val="22"/>
                <w:szCs w:val="22"/>
                <w:lang w:val="en-US" w:eastAsia="en-US"/>
              </w:rPr>
              <w:t xml:space="preserve">The </w:t>
            </w:r>
            <w:proofErr w:type="spellStart"/>
            <w:r w:rsidRPr="00DB4E78">
              <w:rPr>
                <w:color w:val="000000"/>
                <w:sz w:val="22"/>
                <w:szCs w:val="22"/>
                <w:lang w:val="en-US" w:eastAsia="en-US"/>
              </w:rPr>
              <w:t>MicroKelvin</w:t>
            </w:r>
            <w:proofErr w:type="spellEnd"/>
            <w:r w:rsidRPr="00DB4E78">
              <w:rPr>
                <w:color w:val="000000"/>
                <w:sz w:val="22"/>
                <w:szCs w:val="22"/>
                <w:lang w:val="en-US" w:eastAsia="en-US"/>
              </w:rPr>
              <w:t xml:space="preserve"> collaboration provides an opportunity to study these </w:t>
            </w:r>
            <w:proofErr w:type="spellStart"/>
            <w:r w:rsidRPr="00DB4E78">
              <w:rPr>
                <w:color w:val="000000"/>
                <w:sz w:val="22"/>
                <w:szCs w:val="22"/>
                <w:lang w:val="en-US" w:eastAsia="en-US"/>
              </w:rPr>
              <w:t>ques-tions</w:t>
            </w:r>
            <w:proofErr w:type="spellEnd"/>
            <w:r w:rsidRPr="00DB4E78">
              <w:rPr>
                <w:color w:val="000000"/>
                <w:sz w:val="22"/>
                <w:szCs w:val="22"/>
                <w:lang w:val="en-US" w:eastAsia="en-US"/>
              </w:rPr>
              <w:t xml:space="preserve"> experimentally in the fermion superfluid 3He-B by means of a rotating cryostat. With this apparatus 3He-B is cooled to below 0.2 </w:t>
            </w:r>
            <w:proofErr w:type="spellStart"/>
            <w:r w:rsidRPr="00DB4E78">
              <w:rPr>
                <w:color w:val="000000"/>
                <w:sz w:val="22"/>
                <w:szCs w:val="22"/>
                <w:lang w:val="en-US" w:eastAsia="en-US"/>
              </w:rPr>
              <w:t>Tc</w:t>
            </w:r>
            <w:proofErr w:type="spellEnd"/>
            <w:r w:rsidRPr="00DB4E78">
              <w:rPr>
                <w:color w:val="000000"/>
                <w:sz w:val="22"/>
                <w:szCs w:val="22"/>
                <w:lang w:val="en-US" w:eastAsia="en-US"/>
              </w:rPr>
              <w:t xml:space="preserve"> in rotation which can be controlled to within </w:t>
            </w:r>
            <w:r w:rsidRPr="00DB4E78">
              <w:rPr>
                <w:color w:val="000000"/>
                <w:sz w:val="22"/>
                <w:szCs w:val="22"/>
                <w:u w:val="single"/>
                <w:lang w:val="en-US" w:eastAsia="en-US"/>
              </w:rPr>
              <w:t>+</w:t>
            </w:r>
            <w:r w:rsidRPr="00DB4E78">
              <w:rPr>
                <w:color w:val="000000"/>
                <w:sz w:val="22"/>
                <w:szCs w:val="22"/>
                <w:lang w:val="en-US" w:eastAsia="en-US"/>
              </w:rPr>
              <w:t>1 circulation quantum. Measurements on the spin-up and spin-down responses of the superfluid component under varied condi</w:t>
            </w:r>
            <w:r w:rsidRPr="00DB4E78">
              <w:rPr>
                <w:color w:val="000000"/>
                <w:sz w:val="22"/>
                <w:szCs w:val="22"/>
                <w:lang w:val="en-US" w:eastAsia="en-US"/>
              </w:rPr>
              <w:softHyphen/>
              <w:t>tions have shown that vortices respond instantaneously to changes in the rota</w:t>
            </w:r>
            <w:r w:rsidRPr="00DB4E78">
              <w:rPr>
                <w:color w:val="000000"/>
                <w:sz w:val="22"/>
                <w:szCs w:val="22"/>
                <w:lang w:val="en-US" w:eastAsia="en-US"/>
              </w:rPr>
              <w:softHyphen/>
              <w:t xml:space="preserve">tion velocity down to very low densities of normal excitations, where their mean free path is much longer than the sample diameter. However, dissipation strongly depends on vortex polarization and on reconnections both in the bulk volume and on the surface of the container, </w:t>
            </w:r>
            <w:r w:rsidRPr="00DB4E78">
              <w:rPr>
                <w:i/>
                <w:iCs/>
                <w:color w:val="000000"/>
                <w:sz w:val="22"/>
                <w:szCs w:val="22"/>
                <w:lang w:val="en-US" w:eastAsia="en-US"/>
              </w:rPr>
              <w:t xml:space="preserve">i.e. </w:t>
            </w:r>
            <w:r w:rsidRPr="00DB4E78">
              <w:rPr>
                <w:color w:val="000000"/>
                <w:sz w:val="22"/>
                <w:szCs w:val="22"/>
                <w:lang w:val="en-US" w:eastAsia="en-US"/>
              </w:rPr>
              <w:t>on whether vortex flow is lami</w:t>
            </w:r>
            <w:r w:rsidRPr="00DB4E78">
              <w:rPr>
                <w:color w:val="000000"/>
                <w:sz w:val="22"/>
                <w:szCs w:val="22"/>
                <w:lang w:val="en-US" w:eastAsia="en-US"/>
              </w:rPr>
              <w:softHyphen/>
              <w:t xml:space="preserve">nar or turbulent. Two different types of vortex motion have been studied at the lowest temperatures: the turbulent propagation of a </w:t>
            </w:r>
            <w:proofErr w:type="spellStart"/>
            <w:r w:rsidRPr="00DB4E78">
              <w:rPr>
                <w:color w:val="000000"/>
                <w:sz w:val="22"/>
                <w:szCs w:val="22"/>
                <w:lang w:val="en-US" w:eastAsia="en-US"/>
              </w:rPr>
              <w:t>precessing</w:t>
            </w:r>
            <w:proofErr w:type="spellEnd"/>
            <w:r w:rsidRPr="00DB4E78">
              <w:rPr>
                <w:color w:val="000000"/>
                <w:sz w:val="22"/>
                <w:szCs w:val="22"/>
                <w:lang w:val="en-US" w:eastAsia="en-US"/>
              </w:rPr>
              <w:t xml:space="preserve"> vortex front along the rotating column of superfluid where dissipation approaches a con</w:t>
            </w:r>
            <w:r w:rsidRPr="00DB4E78">
              <w:rPr>
                <w:color w:val="000000"/>
                <w:sz w:val="22"/>
                <w:szCs w:val="22"/>
                <w:lang w:val="en-US" w:eastAsia="en-US"/>
              </w:rPr>
              <w:softHyphen/>
              <w:t xml:space="preserve">stant but finite value, and the laminar spin down or spin up of the superfluid component after an abrupt change of rotation velocity, where dissipation in the bulk volume is caused by mutual friction and thus vanishes, when </w:t>
            </w:r>
            <w:r w:rsidRPr="00DB4E78">
              <w:rPr>
                <w:i/>
                <w:iCs/>
                <w:color w:val="000000"/>
                <w:sz w:val="22"/>
                <w:szCs w:val="22"/>
                <w:lang w:val="en-US" w:eastAsia="en-US"/>
              </w:rPr>
              <w:t xml:space="preserve">T </w:t>
            </w:r>
            <w:r w:rsidRPr="00DB4E78">
              <w:rPr>
                <w:color w:val="000000"/>
                <w:sz w:val="22"/>
                <w:szCs w:val="22"/>
                <w:lang w:val="en-US" w:eastAsia="en-US"/>
              </w:rPr>
              <w:t xml:space="preserve">→ 0. </w:t>
            </w:r>
          </w:p>
        </w:tc>
      </w:tr>
      <w:tr w:rsidR="008C3EB4" w:rsidRPr="00DB4E78" w:rsidTr="002A58E8">
        <w:tc>
          <w:tcPr>
            <w:tcW w:w="2628" w:type="dxa"/>
          </w:tcPr>
          <w:p w:rsidR="008C3EB4" w:rsidRPr="00DB4E78" w:rsidRDefault="008C3EB4" w:rsidP="002A58E8">
            <w:pPr>
              <w:tabs>
                <w:tab w:val="left" w:pos="709"/>
              </w:tabs>
              <w:jc w:val="both"/>
              <w:rPr>
                <w:spacing w:val="-3"/>
                <w:lang w:val="en-US"/>
              </w:rPr>
            </w:pPr>
            <w:r w:rsidRPr="00DB4E78">
              <w:rPr>
                <w:spacing w:val="-3"/>
                <w:lang w:val="en-US"/>
              </w:rPr>
              <w:t>Amount of access given</w:t>
            </w:r>
          </w:p>
        </w:tc>
        <w:tc>
          <w:tcPr>
            <w:tcW w:w="7226" w:type="dxa"/>
          </w:tcPr>
          <w:p w:rsidR="008C3EB4" w:rsidRPr="00DB4E78" w:rsidRDefault="008C3EB4" w:rsidP="002A58E8">
            <w:pPr>
              <w:tabs>
                <w:tab w:val="left" w:pos="709"/>
              </w:tabs>
              <w:jc w:val="both"/>
              <w:rPr>
                <w:spacing w:val="-3"/>
                <w:lang w:val="en-US"/>
              </w:rPr>
            </w:pPr>
            <w:r w:rsidRPr="00DB4E78">
              <w:rPr>
                <w:spacing w:val="-3"/>
                <w:lang w:val="en-US"/>
              </w:rPr>
              <w:t>24 days</w:t>
            </w:r>
          </w:p>
        </w:tc>
      </w:tr>
    </w:tbl>
    <w:p w:rsidR="00D27AE3" w:rsidRDefault="00D27AE3">
      <w:bookmarkStart w:id="0" w:name="_GoBack"/>
      <w:bookmarkEnd w:id="0"/>
    </w:p>
    <w:sectPr w:rsidR="00D27AE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B4"/>
    <w:rsid w:val="008C3EB4"/>
    <w:rsid w:val="00D27A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B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EB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B959FFED.dotm</Template>
  <TotalTime>1</TotalTime>
  <Pages>1</Pages>
  <Words>271</Words>
  <Characters>2203</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Laitila Sari</dc:creator>
  <cp:lastModifiedBy>Laitila Sari</cp:lastModifiedBy>
  <cp:revision>1</cp:revision>
  <dcterms:created xsi:type="dcterms:W3CDTF">2011-10-13T13:40:00Z</dcterms:created>
  <dcterms:modified xsi:type="dcterms:W3CDTF">2011-10-13T13:41:00Z</dcterms:modified>
</cp:coreProperties>
</file>